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FF49F" w14:textId="78C82EC7" w:rsidR="00A01489" w:rsidRPr="002E6313" w:rsidRDefault="00A01489" w:rsidP="00A01489">
      <w:pPr>
        <w:pStyle w:val="3GPPHeader"/>
        <w:spacing w:after="60"/>
        <w:rPr>
          <w:rFonts w:cs="Arial"/>
          <w:szCs w:val="24"/>
          <w:lang w:val="en-US"/>
        </w:rPr>
      </w:pPr>
      <w:bookmarkStart w:id="0" w:name="_GoBack"/>
      <w:bookmarkEnd w:id="0"/>
      <w:r w:rsidRPr="00007252">
        <w:rPr>
          <w:rFonts w:cs="Arial"/>
          <w:lang w:val="en-US"/>
        </w:rPr>
        <w:t xml:space="preserve">3GPP TSG-RAN WG1 </w:t>
      </w:r>
      <w:r w:rsidRPr="002E6313">
        <w:rPr>
          <w:rFonts w:cs="Arial"/>
          <w:szCs w:val="24"/>
          <w:lang w:val="en-US"/>
        </w:rPr>
        <w:t>Meeting #101-e</w:t>
      </w:r>
      <w:r w:rsidRPr="002E6313">
        <w:rPr>
          <w:rFonts w:cs="Arial"/>
          <w:szCs w:val="24"/>
          <w:lang w:val="en-US"/>
        </w:rPr>
        <w:tab/>
        <w:t>R1-</w:t>
      </w:r>
      <w:r w:rsidRPr="002E6313">
        <w:rPr>
          <w:szCs w:val="24"/>
          <w:lang w:val="en-US"/>
        </w:rPr>
        <w:t xml:space="preserve"> </w:t>
      </w:r>
      <w:r w:rsidR="002166D1" w:rsidRPr="002E6313">
        <w:rPr>
          <w:rFonts w:cs="Arial"/>
          <w:szCs w:val="24"/>
          <w:lang w:val="en-US"/>
        </w:rPr>
        <w:t>2004552</w:t>
      </w:r>
    </w:p>
    <w:p w14:paraId="37885B1E" w14:textId="7A494FAF" w:rsidR="00A01489" w:rsidRPr="002E6313" w:rsidRDefault="00A01489" w:rsidP="00A01489">
      <w:pPr>
        <w:pStyle w:val="3GPPHeader"/>
        <w:rPr>
          <w:rFonts w:cs="Arial"/>
          <w:szCs w:val="24"/>
          <w:lang w:val="en-US"/>
        </w:rPr>
      </w:pPr>
      <w:r w:rsidRPr="002E6313">
        <w:rPr>
          <w:rFonts w:cs="Arial"/>
          <w:szCs w:val="24"/>
          <w:lang w:val="en-US"/>
        </w:rPr>
        <w:t>e-Meeting, May 25th - June 5th, 2020</w:t>
      </w:r>
      <w:r w:rsidR="00475965" w:rsidRPr="002E6313">
        <w:rPr>
          <w:rFonts w:cs="Arial"/>
          <w:szCs w:val="24"/>
          <w:lang w:val="en-US"/>
        </w:rPr>
        <w:tab/>
        <w:t>(Revision of R1-2002242)</w:t>
      </w:r>
    </w:p>
    <w:p w14:paraId="5FE55D6C" w14:textId="77777777" w:rsidR="00F61157" w:rsidRPr="002E6313" w:rsidRDefault="00F61157" w:rsidP="00F61157">
      <w:pPr>
        <w:pStyle w:val="3GPPHeader"/>
        <w:rPr>
          <w:szCs w:val="24"/>
          <w:lang w:val="en-US"/>
        </w:rPr>
      </w:pPr>
    </w:p>
    <w:p w14:paraId="7D3DE7CD" w14:textId="5EA31F3A" w:rsidR="00F61157" w:rsidRPr="00CE7AEE" w:rsidRDefault="00F61157" w:rsidP="00F61157">
      <w:pPr>
        <w:pStyle w:val="3GPPHeader"/>
        <w:rPr>
          <w:sz w:val="22"/>
          <w:szCs w:val="22"/>
          <w:lang w:val="en-US"/>
        </w:rPr>
      </w:pPr>
      <w:r w:rsidRPr="00CE7AEE">
        <w:rPr>
          <w:sz w:val="22"/>
          <w:szCs w:val="22"/>
          <w:lang w:val="en-US"/>
        </w:rPr>
        <w:t>Agenda Item:</w:t>
      </w:r>
      <w:r w:rsidRPr="00CE7AEE">
        <w:rPr>
          <w:sz w:val="22"/>
          <w:szCs w:val="22"/>
          <w:lang w:val="en-US"/>
        </w:rPr>
        <w:tab/>
      </w:r>
      <w:r w:rsidR="00BB67A6">
        <w:rPr>
          <w:sz w:val="22"/>
          <w:szCs w:val="22"/>
          <w:lang w:val="en-US"/>
        </w:rPr>
        <w:t>6.2.5.5</w:t>
      </w:r>
    </w:p>
    <w:p w14:paraId="4AF28F12" w14:textId="77777777" w:rsidR="00F61157" w:rsidRPr="00CE0424" w:rsidRDefault="00F61157" w:rsidP="00F61157">
      <w:pPr>
        <w:pStyle w:val="3GPPHeader"/>
        <w:rPr>
          <w:sz w:val="22"/>
          <w:szCs w:val="22"/>
        </w:rPr>
      </w:pPr>
      <w:r>
        <w:rPr>
          <w:sz w:val="22"/>
          <w:szCs w:val="22"/>
        </w:rPr>
        <w:t>Source:</w:t>
      </w:r>
      <w:r w:rsidRPr="00CE0424">
        <w:rPr>
          <w:sz w:val="22"/>
          <w:szCs w:val="22"/>
        </w:rPr>
        <w:tab/>
        <w:t>Ericsson</w:t>
      </w:r>
    </w:p>
    <w:p w14:paraId="60FCA2B6" w14:textId="5EE41162" w:rsidR="00F61157" w:rsidRDefault="00F61157" w:rsidP="00F61157">
      <w:pPr>
        <w:pStyle w:val="3GPPHeader"/>
        <w:rPr>
          <w:sz w:val="22"/>
          <w:szCs w:val="22"/>
        </w:rPr>
      </w:pPr>
      <w:r>
        <w:rPr>
          <w:sz w:val="22"/>
          <w:szCs w:val="22"/>
        </w:rPr>
        <w:t>Title:</w:t>
      </w:r>
      <w:r w:rsidRPr="00CE0424">
        <w:rPr>
          <w:sz w:val="22"/>
          <w:szCs w:val="22"/>
        </w:rPr>
        <w:tab/>
      </w:r>
      <w:r w:rsidR="00AA144E">
        <w:rPr>
          <w:sz w:val="22"/>
          <w:szCs w:val="22"/>
        </w:rPr>
        <w:t>LTE UE features for V2X</w:t>
      </w:r>
    </w:p>
    <w:p w14:paraId="5A9D08C6" w14:textId="1D94653D" w:rsidR="00F61157" w:rsidRPr="00CE0424" w:rsidRDefault="00F61157" w:rsidP="00F61157">
      <w:pPr>
        <w:pStyle w:val="3GPPHeader"/>
        <w:rPr>
          <w:sz w:val="22"/>
          <w:szCs w:val="22"/>
        </w:rPr>
      </w:pPr>
      <w:r w:rsidRPr="00FE432F">
        <w:rPr>
          <w:sz w:val="22"/>
          <w:szCs w:val="22"/>
        </w:rPr>
        <w:t>Document for:</w:t>
      </w:r>
      <w:r w:rsidRPr="00FE432F">
        <w:rPr>
          <w:sz w:val="22"/>
          <w:szCs w:val="22"/>
        </w:rPr>
        <w:tab/>
        <w:t>Discussion, Decision</w:t>
      </w:r>
    </w:p>
    <w:p w14:paraId="55666E38" w14:textId="77777777" w:rsidR="00F61157" w:rsidRPr="00CE0424" w:rsidRDefault="00F61157" w:rsidP="00F61157"/>
    <w:p w14:paraId="559F2F76" w14:textId="77777777" w:rsidR="00F61157" w:rsidRPr="00CE0424" w:rsidRDefault="00F61157" w:rsidP="00F61157">
      <w:pPr>
        <w:pStyle w:val="Heading1"/>
      </w:pPr>
      <w:r>
        <w:t>1</w:t>
      </w:r>
      <w:r>
        <w:tab/>
      </w:r>
      <w:r w:rsidRPr="00CE0424">
        <w:t>Introduction</w:t>
      </w:r>
    </w:p>
    <w:p w14:paraId="48F62CE5" w14:textId="043BBDFF" w:rsidR="00F61157" w:rsidRPr="00B341A7" w:rsidRDefault="00F61157" w:rsidP="00B341A7">
      <w:pPr>
        <w:jc w:val="both"/>
        <w:rPr>
          <w:rFonts w:ascii="Arial" w:hAnsi="Arial" w:cs="Arial"/>
        </w:rPr>
      </w:pPr>
      <w:r w:rsidRPr="00B341A7">
        <w:rPr>
          <w:rFonts w:ascii="Arial" w:hAnsi="Arial" w:cs="Arial"/>
        </w:rPr>
        <w:t xml:space="preserve">In this paper, </w:t>
      </w:r>
      <w:r w:rsidR="00AA144E" w:rsidRPr="00B341A7">
        <w:rPr>
          <w:rFonts w:ascii="Arial" w:hAnsi="Arial" w:cs="Arial"/>
        </w:rPr>
        <w:t xml:space="preserve">we </w:t>
      </w:r>
      <w:r w:rsidR="00EC5040">
        <w:rPr>
          <w:rFonts w:ascii="Arial" w:hAnsi="Arial" w:cs="Arial"/>
        </w:rPr>
        <w:t xml:space="preserve">motivate our position </w:t>
      </w:r>
      <w:r w:rsidR="00AA144E" w:rsidRPr="00B341A7">
        <w:rPr>
          <w:rFonts w:ascii="Arial" w:hAnsi="Arial" w:cs="Arial"/>
        </w:rPr>
        <w:t xml:space="preserve">on the LTE features </w:t>
      </w:r>
      <w:r w:rsidR="00EC5040">
        <w:rPr>
          <w:rFonts w:ascii="Arial" w:hAnsi="Arial" w:cs="Arial"/>
        </w:rPr>
        <w:t>for V2X presented in</w:t>
      </w:r>
      <w:r w:rsidR="00AA144E" w:rsidRPr="00B341A7">
        <w:rPr>
          <w:rFonts w:ascii="Arial" w:hAnsi="Arial" w:cs="Arial"/>
        </w:rPr>
        <w:t xml:space="preserve"> [1].</w:t>
      </w:r>
    </w:p>
    <w:p w14:paraId="7F3FF506" w14:textId="480118F6" w:rsidR="00F61157" w:rsidRPr="002E2DEC" w:rsidRDefault="00F61157" w:rsidP="00B341A7">
      <w:pPr>
        <w:pStyle w:val="Heading1"/>
        <w:jc w:val="both"/>
      </w:pPr>
      <w:r w:rsidRPr="002E2DEC">
        <w:t>2</w:t>
      </w:r>
      <w:r w:rsidRPr="002E2DEC">
        <w:tab/>
        <w:t>Basic Feature Groups</w:t>
      </w:r>
    </w:p>
    <w:p w14:paraId="6D27744D" w14:textId="638FA59F" w:rsidR="00AA144E" w:rsidRPr="002E2DEC" w:rsidRDefault="00AA144E" w:rsidP="00B341A7">
      <w:pPr>
        <w:jc w:val="both"/>
        <w:rPr>
          <w:rFonts w:ascii="Arial" w:hAnsi="Arial" w:cs="Arial"/>
        </w:rPr>
      </w:pPr>
      <w:r w:rsidRPr="002E2DEC">
        <w:rPr>
          <w:rFonts w:ascii="Arial" w:hAnsi="Arial" w:cs="Arial"/>
        </w:rPr>
        <w:t xml:space="preserve">One point of discussion in defining the LTE UE feature list for Rel. 16 V2X is whether to define the basic feature groups or not. In our opinion, such description is needed so that </w:t>
      </w:r>
      <w:proofErr w:type="gramStart"/>
      <w:r w:rsidR="00EC5040" w:rsidRPr="002E2DEC">
        <w:rPr>
          <w:rFonts w:ascii="Arial" w:hAnsi="Arial" w:cs="Arial"/>
        </w:rPr>
        <w:t xml:space="preserve">it is clear that </w:t>
      </w:r>
      <w:r w:rsidRPr="002E2DEC">
        <w:rPr>
          <w:rFonts w:ascii="Arial" w:hAnsi="Arial" w:cs="Arial"/>
        </w:rPr>
        <w:t>a</w:t>
      </w:r>
      <w:proofErr w:type="gramEnd"/>
      <w:r w:rsidRPr="002E2DEC">
        <w:rPr>
          <w:rFonts w:ascii="Arial" w:hAnsi="Arial" w:cs="Arial"/>
        </w:rPr>
        <w:t xml:space="preserve"> UE </w:t>
      </w:r>
      <w:r w:rsidR="00EC5040" w:rsidRPr="002E2DEC">
        <w:rPr>
          <w:rFonts w:ascii="Arial" w:hAnsi="Arial" w:cs="Arial"/>
        </w:rPr>
        <w:t>operating the NR sidelink</w:t>
      </w:r>
      <w:r w:rsidRPr="002E2DEC">
        <w:rPr>
          <w:rFonts w:ascii="Arial" w:hAnsi="Arial" w:cs="Arial"/>
        </w:rPr>
        <w:t xml:space="preserve"> under LTE must support basic features. </w:t>
      </w:r>
      <w:r w:rsidR="00E47D83" w:rsidRPr="002E2DEC">
        <w:rPr>
          <w:rFonts w:ascii="Arial" w:hAnsi="Arial" w:cs="Arial"/>
        </w:rPr>
        <w:t xml:space="preserve">Furthermore, the set of basic feature groups should be aligned with NR basic </w:t>
      </w:r>
      <w:r w:rsidR="00EC5040" w:rsidRPr="002E2DEC">
        <w:rPr>
          <w:rFonts w:ascii="Arial" w:hAnsi="Arial" w:cs="Arial"/>
        </w:rPr>
        <w:t xml:space="preserve">feature </w:t>
      </w:r>
      <w:r w:rsidR="00E47D83" w:rsidRPr="002E2DEC">
        <w:rPr>
          <w:rFonts w:ascii="Arial" w:hAnsi="Arial" w:cs="Arial"/>
        </w:rPr>
        <w:t xml:space="preserve">groups. </w:t>
      </w:r>
    </w:p>
    <w:p w14:paraId="5D6A8111" w14:textId="77777777" w:rsidR="00E47D83" w:rsidRPr="002E2DEC" w:rsidRDefault="00E47D83" w:rsidP="00B341A7">
      <w:pPr>
        <w:pStyle w:val="Proposal"/>
        <w:rPr>
          <w:rFonts w:cs="Arial"/>
          <w:sz w:val="20"/>
          <w:szCs w:val="20"/>
        </w:rPr>
      </w:pPr>
      <w:bookmarkStart w:id="1" w:name="_Toc40438822"/>
      <w:r w:rsidRPr="002E2DEC">
        <w:rPr>
          <w:rFonts w:cs="Arial"/>
          <w:sz w:val="20"/>
          <w:szCs w:val="20"/>
        </w:rPr>
        <w:t>Basic feature groups are defined for LTE UE features.</w:t>
      </w:r>
      <w:bookmarkEnd w:id="1"/>
    </w:p>
    <w:p w14:paraId="65632781" w14:textId="48E34295" w:rsidR="004429B8" w:rsidRDefault="00F61157" w:rsidP="00B341A7">
      <w:pPr>
        <w:pStyle w:val="Heading1"/>
        <w:jc w:val="both"/>
      </w:pPr>
      <w:r>
        <w:t>3</w:t>
      </w:r>
      <w:r>
        <w:tab/>
      </w:r>
      <w:r w:rsidR="00E47D83">
        <w:t>Alignment between LTE and NR features</w:t>
      </w:r>
    </w:p>
    <w:p w14:paraId="4C80C43D" w14:textId="1376F147" w:rsidR="00E47D83" w:rsidRPr="00B341A7" w:rsidRDefault="00E47D83" w:rsidP="00B341A7">
      <w:pPr>
        <w:jc w:val="both"/>
        <w:rPr>
          <w:rFonts w:ascii="Arial" w:hAnsi="Arial" w:cs="Arial"/>
        </w:rPr>
      </w:pPr>
      <w:r w:rsidRPr="00B341A7">
        <w:rPr>
          <w:rFonts w:ascii="Arial" w:hAnsi="Arial" w:cs="Arial"/>
        </w:rPr>
        <w:t xml:space="preserve">In our view, the components of feature groups defined for LTE should be completely aligned with NR features. It is to be noted that NR features' list is not completely settled yet (e.g. subcarrier spacings which can be mandatory, defining </w:t>
      </w:r>
      <w:proofErr w:type="spellStart"/>
      <w:r w:rsidRPr="00B341A7">
        <w:rPr>
          <w:rFonts w:ascii="Arial" w:hAnsi="Arial" w:cs="Arial"/>
        </w:rPr>
        <w:t>eNB</w:t>
      </w:r>
      <w:proofErr w:type="spellEnd"/>
      <w:r w:rsidRPr="00B341A7">
        <w:rPr>
          <w:rFonts w:ascii="Arial" w:hAnsi="Arial" w:cs="Arial"/>
        </w:rPr>
        <w:t xml:space="preserve"> as separate feature group etc.)</w:t>
      </w:r>
      <w:r w:rsidR="00BB67A6" w:rsidRPr="00B341A7">
        <w:rPr>
          <w:rFonts w:ascii="Arial" w:hAnsi="Arial" w:cs="Arial"/>
        </w:rPr>
        <w:t xml:space="preserve"> [2</w:t>
      </w:r>
      <w:r w:rsidR="00E306BD" w:rsidRPr="00B341A7">
        <w:rPr>
          <w:rFonts w:ascii="Arial" w:hAnsi="Arial" w:cs="Arial"/>
        </w:rPr>
        <w:t>].</w:t>
      </w:r>
      <w:r w:rsidRPr="00B341A7">
        <w:rPr>
          <w:rFonts w:ascii="Arial" w:hAnsi="Arial" w:cs="Arial"/>
        </w:rPr>
        <w:t xml:space="preserve"> However, for LTE, </w:t>
      </w:r>
      <w:proofErr w:type="gramStart"/>
      <w:r w:rsidRPr="00B341A7">
        <w:rPr>
          <w:rFonts w:ascii="Arial" w:hAnsi="Arial" w:cs="Arial"/>
        </w:rPr>
        <w:t>an</w:t>
      </w:r>
      <w:proofErr w:type="gramEnd"/>
      <w:r w:rsidRPr="00B341A7">
        <w:rPr>
          <w:rFonts w:ascii="Arial" w:hAnsi="Arial" w:cs="Arial"/>
        </w:rPr>
        <w:t xml:space="preserve"> LS to RAN2 has been sent with the list which may be subject to change after settling NR features first. It should be clear that any change in NR features should be similarly reflected in LTE features, if applicable.</w:t>
      </w:r>
    </w:p>
    <w:p w14:paraId="0EF7BC02" w14:textId="3F948742" w:rsidR="00E47D83" w:rsidRPr="00B341A7" w:rsidRDefault="00E47D83" w:rsidP="00B341A7">
      <w:pPr>
        <w:pStyle w:val="Proposal"/>
        <w:rPr>
          <w:sz w:val="20"/>
          <w:szCs w:val="20"/>
        </w:rPr>
      </w:pPr>
      <w:bookmarkStart w:id="2" w:name="_Toc40438823"/>
      <w:r w:rsidRPr="00B341A7">
        <w:rPr>
          <w:sz w:val="20"/>
          <w:szCs w:val="20"/>
        </w:rPr>
        <w:t>LTE features' list is to be updated further after settling the NR feature list.</w:t>
      </w:r>
      <w:bookmarkEnd w:id="2"/>
      <w:r w:rsidRPr="00B341A7">
        <w:rPr>
          <w:sz w:val="20"/>
          <w:szCs w:val="20"/>
        </w:rPr>
        <w:t xml:space="preserve"> </w:t>
      </w:r>
    </w:p>
    <w:p w14:paraId="0D3DA4C2" w14:textId="77777777" w:rsidR="00E47D83" w:rsidRPr="00E47D83" w:rsidRDefault="00E47D83" w:rsidP="00B341A7">
      <w:pPr>
        <w:jc w:val="both"/>
      </w:pPr>
    </w:p>
    <w:p w14:paraId="12903DED" w14:textId="4B8DD9D7" w:rsidR="001C60DC" w:rsidRPr="00BB67A6" w:rsidRDefault="00F61157" w:rsidP="00B341A7">
      <w:pPr>
        <w:pStyle w:val="Heading1"/>
        <w:jc w:val="both"/>
        <w:rPr>
          <w:sz w:val="20"/>
          <w:lang w:val="en-US"/>
        </w:rPr>
      </w:pPr>
      <w:r>
        <w:t>4</w:t>
      </w:r>
      <w:r w:rsidR="000258B2">
        <w:rPr>
          <w:sz w:val="20"/>
          <w:lang w:val="en-US"/>
        </w:rPr>
        <w:t xml:space="preserve"> </w:t>
      </w:r>
      <w:r w:rsidR="00BB67A6">
        <w:rPr>
          <w:sz w:val="20"/>
          <w:lang w:val="en-US"/>
        </w:rPr>
        <w:tab/>
      </w:r>
      <w:r>
        <w:t xml:space="preserve">Synchronization </w:t>
      </w:r>
      <w:r w:rsidR="00A70DEA">
        <w:t>sources</w:t>
      </w:r>
      <w:r>
        <w:t xml:space="preserve"> for NR SL</w:t>
      </w:r>
    </w:p>
    <w:p w14:paraId="11AC4591" w14:textId="3E173C19" w:rsidR="00F61157" w:rsidRPr="00B341A7" w:rsidRDefault="00CC7C1C" w:rsidP="00B341A7">
      <w:pPr>
        <w:jc w:val="both"/>
        <w:rPr>
          <w:rFonts w:ascii="Arial" w:hAnsi="Arial" w:cs="Arial"/>
        </w:rPr>
      </w:pPr>
      <w:r w:rsidRPr="00B341A7">
        <w:rPr>
          <w:rFonts w:ascii="Arial" w:hAnsi="Arial" w:cs="Arial"/>
        </w:rPr>
        <w:t xml:space="preserve">As </w:t>
      </w:r>
      <w:r w:rsidR="00BB67A6" w:rsidRPr="00B341A7">
        <w:rPr>
          <w:rFonts w:ascii="Arial" w:hAnsi="Arial" w:cs="Arial"/>
        </w:rPr>
        <w:t>also</w:t>
      </w:r>
      <w:r w:rsidRPr="00B341A7">
        <w:rPr>
          <w:rFonts w:ascii="Arial" w:hAnsi="Arial" w:cs="Arial"/>
        </w:rPr>
        <w:t xml:space="preserve"> proposed in </w:t>
      </w:r>
      <w:r w:rsidR="00BB67A6" w:rsidRPr="00B341A7">
        <w:rPr>
          <w:rFonts w:ascii="Arial" w:hAnsi="Arial" w:cs="Arial"/>
        </w:rPr>
        <w:t>[3]</w:t>
      </w:r>
      <w:r w:rsidRPr="00B341A7">
        <w:rPr>
          <w:rFonts w:ascii="Arial" w:hAnsi="Arial" w:cs="Arial"/>
        </w:rPr>
        <w:t>, t</w:t>
      </w:r>
      <w:r w:rsidR="00F61157" w:rsidRPr="00B341A7">
        <w:rPr>
          <w:rFonts w:ascii="Arial" w:hAnsi="Arial" w:cs="Arial"/>
        </w:rPr>
        <w:t xml:space="preserve">he </w:t>
      </w:r>
      <w:proofErr w:type="spellStart"/>
      <w:r w:rsidR="00D62340" w:rsidRPr="00B341A7">
        <w:rPr>
          <w:rFonts w:ascii="Arial" w:hAnsi="Arial" w:cs="Arial"/>
        </w:rPr>
        <w:t>eNB</w:t>
      </w:r>
      <w:proofErr w:type="spellEnd"/>
      <w:r w:rsidR="00F61157" w:rsidRPr="00B341A7">
        <w:rPr>
          <w:rFonts w:ascii="Arial" w:hAnsi="Arial" w:cs="Arial"/>
        </w:rPr>
        <w:t xml:space="preserve"> as </w:t>
      </w:r>
      <w:r w:rsidRPr="00B341A7">
        <w:rPr>
          <w:rFonts w:ascii="Arial" w:hAnsi="Arial" w:cs="Arial"/>
        </w:rPr>
        <w:t xml:space="preserve">a </w:t>
      </w:r>
      <w:r w:rsidR="00F61157" w:rsidRPr="00B341A7">
        <w:rPr>
          <w:rFonts w:ascii="Arial" w:hAnsi="Arial" w:cs="Arial"/>
        </w:rPr>
        <w:t xml:space="preserve">synchronization </w:t>
      </w:r>
      <w:r w:rsidR="00724A1B" w:rsidRPr="00B341A7">
        <w:rPr>
          <w:rFonts w:ascii="Arial" w:hAnsi="Arial" w:cs="Arial"/>
        </w:rPr>
        <w:t>reference</w:t>
      </w:r>
      <w:r w:rsidRPr="00B341A7">
        <w:rPr>
          <w:rFonts w:ascii="Arial" w:hAnsi="Arial" w:cs="Arial"/>
        </w:rPr>
        <w:t xml:space="preserve"> for NR SL</w:t>
      </w:r>
      <w:r w:rsidR="00F61157" w:rsidRPr="00B341A7">
        <w:rPr>
          <w:rFonts w:ascii="Arial" w:hAnsi="Arial" w:cs="Arial"/>
        </w:rPr>
        <w:t xml:space="preserve"> should be part of the basic features. </w:t>
      </w:r>
      <w:r w:rsidRPr="00B341A7">
        <w:rPr>
          <w:rFonts w:ascii="Arial" w:hAnsi="Arial" w:cs="Arial"/>
        </w:rPr>
        <w:t>Therefore, i</w:t>
      </w:r>
      <w:r w:rsidR="00F61157" w:rsidRPr="00B341A7">
        <w:rPr>
          <w:rFonts w:ascii="Arial" w:hAnsi="Arial" w:cs="Arial"/>
        </w:rPr>
        <w:t xml:space="preserve">t should be included in the 15-4 along with the GNSS and </w:t>
      </w:r>
      <w:proofErr w:type="spellStart"/>
      <w:r w:rsidR="00F61157" w:rsidRPr="00B341A7">
        <w:rPr>
          <w:rFonts w:ascii="Arial" w:hAnsi="Arial" w:cs="Arial"/>
        </w:rPr>
        <w:t>SyncRef</w:t>
      </w:r>
      <w:proofErr w:type="spellEnd"/>
      <w:r w:rsidR="00F61157" w:rsidRPr="00B341A7">
        <w:rPr>
          <w:rFonts w:ascii="Arial" w:hAnsi="Arial" w:cs="Arial"/>
        </w:rPr>
        <w:t xml:space="preserve"> UE as valid synchronization </w:t>
      </w:r>
      <w:r w:rsidR="00724A1B" w:rsidRPr="00B341A7">
        <w:rPr>
          <w:rFonts w:ascii="Arial" w:hAnsi="Arial" w:cs="Arial"/>
        </w:rPr>
        <w:t>reference</w:t>
      </w:r>
      <w:r w:rsidR="00F61157" w:rsidRPr="00B341A7">
        <w:rPr>
          <w:rFonts w:ascii="Arial" w:hAnsi="Arial" w:cs="Arial"/>
        </w:rPr>
        <w:t>.</w:t>
      </w:r>
      <w:r w:rsidRPr="00B341A7">
        <w:rPr>
          <w:rFonts w:ascii="Arial" w:hAnsi="Arial" w:cs="Arial"/>
        </w:rPr>
        <w:t xml:space="preserve"> The motivation behind this addition is that since </w:t>
      </w:r>
      <w:r w:rsidR="003B20B5" w:rsidRPr="00B341A7">
        <w:rPr>
          <w:rFonts w:ascii="Arial" w:hAnsi="Arial" w:cs="Arial"/>
        </w:rPr>
        <w:t xml:space="preserve">a UE will have </w:t>
      </w:r>
      <w:proofErr w:type="spellStart"/>
      <w:r w:rsidR="003B20B5" w:rsidRPr="00B341A7">
        <w:rPr>
          <w:rFonts w:ascii="Arial" w:hAnsi="Arial" w:cs="Arial"/>
        </w:rPr>
        <w:t>Uu</w:t>
      </w:r>
      <w:proofErr w:type="spellEnd"/>
      <w:r w:rsidR="003B20B5" w:rsidRPr="00B341A7">
        <w:rPr>
          <w:rFonts w:ascii="Arial" w:hAnsi="Arial" w:cs="Arial"/>
        </w:rPr>
        <w:t xml:space="preserve"> capabilities, then it </w:t>
      </w:r>
      <w:r w:rsidR="00221168" w:rsidRPr="00B341A7">
        <w:rPr>
          <w:rFonts w:ascii="Arial" w:hAnsi="Arial" w:cs="Arial"/>
        </w:rPr>
        <w:t xml:space="preserve">is arguably straightforward to </w:t>
      </w:r>
      <w:r w:rsidR="00EC5040">
        <w:rPr>
          <w:rFonts w:ascii="Arial" w:hAnsi="Arial" w:cs="Arial"/>
        </w:rPr>
        <w:t>support the</w:t>
      </w:r>
      <w:r w:rsidR="00221168" w:rsidRPr="00B341A7">
        <w:rPr>
          <w:rFonts w:ascii="Arial" w:hAnsi="Arial" w:cs="Arial"/>
        </w:rPr>
        <w:t xml:space="preserve"> capability </w:t>
      </w:r>
      <w:r w:rsidR="00EC5040">
        <w:rPr>
          <w:rFonts w:ascii="Arial" w:hAnsi="Arial" w:cs="Arial"/>
        </w:rPr>
        <w:t>of using</w:t>
      </w:r>
      <w:r w:rsidR="00221168" w:rsidRPr="00B341A7">
        <w:rPr>
          <w:rFonts w:ascii="Arial" w:hAnsi="Arial" w:cs="Arial"/>
        </w:rPr>
        <w:t xml:space="preserve"> the network as a potential synchronization source.</w:t>
      </w:r>
      <w:r w:rsidR="00EC5040">
        <w:rPr>
          <w:rFonts w:ascii="Arial" w:hAnsi="Arial" w:cs="Arial"/>
        </w:rPr>
        <w:t xml:space="preserve"> Moreover, for many deployments of interest NW-based synchronization is necessary</w:t>
      </w:r>
      <w:r w:rsidR="0094295A">
        <w:rPr>
          <w:rFonts w:ascii="Arial" w:hAnsi="Arial" w:cs="Arial"/>
        </w:rPr>
        <w:t>.</w:t>
      </w:r>
    </w:p>
    <w:p w14:paraId="5996E939" w14:textId="325FC881" w:rsidR="00221168" w:rsidRPr="00724A1B" w:rsidRDefault="00221168" w:rsidP="00724A1B">
      <w:pPr>
        <w:pStyle w:val="Proposal"/>
        <w:rPr>
          <w:sz w:val="20"/>
          <w:szCs w:val="20"/>
          <w:lang w:val="en-US"/>
        </w:rPr>
      </w:pPr>
      <w:bookmarkStart w:id="3" w:name="_Toc40438824"/>
      <w:r w:rsidRPr="00724A1B">
        <w:rPr>
          <w:sz w:val="20"/>
          <w:szCs w:val="20"/>
          <w:lang w:val="en-US"/>
        </w:rPr>
        <w:t xml:space="preserve">Include </w:t>
      </w:r>
      <w:proofErr w:type="spellStart"/>
      <w:r w:rsidR="00D62340">
        <w:rPr>
          <w:sz w:val="20"/>
          <w:szCs w:val="20"/>
          <w:lang w:val="en-US"/>
        </w:rPr>
        <w:t>eNB</w:t>
      </w:r>
      <w:proofErr w:type="spellEnd"/>
      <w:r w:rsidRPr="00724A1B">
        <w:rPr>
          <w:sz w:val="20"/>
          <w:szCs w:val="20"/>
          <w:lang w:val="en-US"/>
        </w:rPr>
        <w:t xml:space="preserve"> as one of the synchronization</w:t>
      </w:r>
      <w:r w:rsidR="00724A1B" w:rsidRPr="00724A1B">
        <w:rPr>
          <w:sz w:val="20"/>
          <w:szCs w:val="20"/>
          <w:lang w:val="en-US"/>
        </w:rPr>
        <w:t xml:space="preserve"> references</w:t>
      </w:r>
      <w:r w:rsidRPr="00724A1B">
        <w:rPr>
          <w:sz w:val="20"/>
          <w:szCs w:val="20"/>
          <w:lang w:val="en-US"/>
        </w:rPr>
        <w:t xml:space="preserve"> for NR sidelink</w:t>
      </w:r>
      <w:r w:rsidR="00724A1B" w:rsidRPr="00724A1B">
        <w:rPr>
          <w:sz w:val="20"/>
          <w:szCs w:val="20"/>
          <w:lang w:val="en-US"/>
        </w:rPr>
        <w:t xml:space="preserve"> along with GNSS and </w:t>
      </w:r>
      <w:proofErr w:type="spellStart"/>
      <w:r w:rsidR="00724A1B" w:rsidRPr="00724A1B">
        <w:rPr>
          <w:sz w:val="20"/>
          <w:szCs w:val="20"/>
          <w:lang w:val="en-US"/>
        </w:rPr>
        <w:t>SynchRef</w:t>
      </w:r>
      <w:proofErr w:type="spellEnd"/>
      <w:r w:rsidR="00724A1B" w:rsidRPr="00724A1B">
        <w:rPr>
          <w:sz w:val="20"/>
          <w:szCs w:val="20"/>
          <w:lang w:val="en-US"/>
        </w:rPr>
        <w:t xml:space="preserve"> UE.</w:t>
      </w:r>
      <w:bookmarkEnd w:id="3"/>
      <w:r w:rsidRPr="00724A1B">
        <w:rPr>
          <w:sz w:val="20"/>
          <w:szCs w:val="20"/>
          <w:lang w:val="en-US"/>
        </w:rPr>
        <w:t xml:space="preserve"> </w:t>
      </w:r>
    </w:p>
    <w:p w14:paraId="61CBC9FC" w14:textId="6210ABD3" w:rsidR="00F81C2C" w:rsidRDefault="00F81C2C" w:rsidP="00F61157"/>
    <w:p w14:paraId="6A48B72A" w14:textId="5512EF22" w:rsidR="00F81C2C" w:rsidRPr="00CE0424" w:rsidRDefault="00E306BD" w:rsidP="00F81C2C">
      <w:pPr>
        <w:pStyle w:val="Heading1"/>
      </w:pPr>
      <w:r>
        <w:lastRenderedPageBreak/>
        <w:t>5</w:t>
      </w:r>
      <w:r w:rsidR="00F81C2C">
        <w:tab/>
      </w:r>
      <w:r w:rsidR="00F81C2C" w:rsidRPr="00CE0424">
        <w:t>Conclusion</w:t>
      </w:r>
    </w:p>
    <w:p w14:paraId="02A7AC9D" w14:textId="77777777" w:rsidR="00F81C2C" w:rsidRDefault="00F81C2C" w:rsidP="00F81C2C">
      <w:pPr>
        <w:pStyle w:val="BodyText"/>
      </w:pPr>
      <w:r>
        <w:t>I</w:t>
      </w:r>
      <w:r w:rsidRPr="00CE0424">
        <w:t xml:space="preserve">n </w:t>
      </w:r>
      <w:r>
        <w:t xml:space="preserve">the previous </w:t>
      </w:r>
      <w:r w:rsidRPr="00CE0424">
        <w:t>section</w:t>
      </w:r>
      <w:r>
        <w:t>s</w:t>
      </w:r>
      <w:r w:rsidRPr="00CE0424">
        <w:t xml:space="preserve"> we propose</w:t>
      </w:r>
      <w:r>
        <w:t>d</w:t>
      </w:r>
      <w:r w:rsidRPr="00CE0424">
        <w:t xml:space="preserve"> the following:</w:t>
      </w:r>
    </w:p>
    <w:p w14:paraId="532696AA" w14:textId="7490A969" w:rsidR="00C01A50" w:rsidRDefault="00F81C2C">
      <w:pPr>
        <w:pStyle w:val="TableofFigures"/>
        <w:tabs>
          <w:tab w:val="right" w:leader="dot" w:pos="9016"/>
        </w:tabs>
        <w:rPr>
          <w:rFonts w:asciiTheme="minorHAnsi" w:eastAsiaTheme="minorEastAsia" w:hAnsiTheme="minorHAnsi"/>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438822" w:history="1">
        <w:r w:rsidR="00C01A50" w:rsidRPr="004C73B2">
          <w:rPr>
            <w:rStyle w:val="Hyperlink"/>
            <w:rFonts w:cs="Arial"/>
            <w:noProof/>
          </w:rPr>
          <w:t>Proposal 1</w:t>
        </w:r>
        <w:r w:rsidR="00C01A50">
          <w:rPr>
            <w:rFonts w:asciiTheme="minorHAnsi" w:eastAsiaTheme="minorEastAsia" w:hAnsiTheme="minorHAnsi"/>
            <w:b w:val="0"/>
            <w:noProof/>
          </w:rPr>
          <w:tab/>
        </w:r>
        <w:r w:rsidR="00C01A50" w:rsidRPr="004C73B2">
          <w:rPr>
            <w:rStyle w:val="Hyperlink"/>
            <w:rFonts w:cs="Arial"/>
            <w:noProof/>
          </w:rPr>
          <w:t>Basic feature groups are defined for LTE UE features.</w:t>
        </w:r>
      </w:hyperlink>
    </w:p>
    <w:p w14:paraId="0A6EE289" w14:textId="21256C95" w:rsidR="00C01A50" w:rsidRDefault="003B4AEF">
      <w:pPr>
        <w:pStyle w:val="TableofFigures"/>
        <w:tabs>
          <w:tab w:val="right" w:leader="dot" w:pos="9016"/>
        </w:tabs>
        <w:rPr>
          <w:rFonts w:asciiTheme="minorHAnsi" w:eastAsiaTheme="minorEastAsia" w:hAnsiTheme="minorHAnsi"/>
          <w:b w:val="0"/>
          <w:noProof/>
        </w:rPr>
      </w:pPr>
      <w:hyperlink w:anchor="_Toc40438823" w:history="1">
        <w:r w:rsidR="00C01A50" w:rsidRPr="004C73B2">
          <w:rPr>
            <w:rStyle w:val="Hyperlink"/>
            <w:noProof/>
          </w:rPr>
          <w:t>Proposal 2</w:t>
        </w:r>
        <w:r w:rsidR="00C01A50">
          <w:rPr>
            <w:rFonts w:asciiTheme="minorHAnsi" w:eastAsiaTheme="minorEastAsia" w:hAnsiTheme="minorHAnsi"/>
            <w:b w:val="0"/>
            <w:noProof/>
          </w:rPr>
          <w:tab/>
        </w:r>
        <w:r w:rsidR="00C01A50" w:rsidRPr="004C73B2">
          <w:rPr>
            <w:rStyle w:val="Hyperlink"/>
            <w:noProof/>
          </w:rPr>
          <w:t>LTE features' list is to be updated further after settling the NR feature list.</w:t>
        </w:r>
      </w:hyperlink>
    </w:p>
    <w:p w14:paraId="5AF54F06" w14:textId="67558856" w:rsidR="00C01A50" w:rsidRDefault="003B4AEF">
      <w:pPr>
        <w:pStyle w:val="TableofFigures"/>
        <w:tabs>
          <w:tab w:val="right" w:leader="dot" w:pos="9016"/>
        </w:tabs>
        <w:rPr>
          <w:rFonts w:asciiTheme="minorHAnsi" w:eastAsiaTheme="minorEastAsia" w:hAnsiTheme="minorHAnsi"/>
          <w:b w:val="0"/>
          <w:noProof/>
        </w:rPr>
      </w:pPr>
      <w:hyperlink w:anchor="_Toc40438824" w:history="1">
        <w:r w:rsidR="00C01A50" w:rsidRPr="004C73B2">
          <w:rPr>
            <w:rStyle w:val="Hyperlink"/>
            <w:noProof/>
            <w:lang w:val="en-US"/>
          </w:rPr>
          <w:t>Proposal 3</w:t>
        </w:r>
        <w:r w:rsidR="00C01A50">
          <w:rPr>
            <w:rFonts w:asciiTheme="minorHAnsi" w:eastAsiaTheme="minorEastAsia" w:hAnsiTheme="minorHAnsi"/>
            <w:b w:val="0"/>
            <w:noProof/>
          </w:rPr>
          <w:tab/>
        </w:r>
        <w:r w:rsidR="00C01A50" w:rsidRPr="004C73B2">
          <w:rPr>
            <w:rStyle w:val="Hyperlink"/>
            <w:noProof/>
            <w:lang w:val="en-US"/>
          </w:rPr>
          <w:t>Include eNB as one of the synchronization references for NR sidelink along with GNSS and SynchRef UE.</w:t>
        </w:r>
      </w:hyperlink>
    </w:p>
    <w:p w14:paraId="0EB0A110" w14:textId="044BC670" w:rsidR="000F7317" w:rsidRPr="00125968" w:rsidRDefault="00F81C2C" w:rsidP="000F7317">
      <w:pPr>
        <w:pStyle w:val="Heading1"/>
        <w:rPr>
          <w:b/>
        </w:rPr>
      </w:pPr>
      <w:r>
        <w:rPr>
          <w:b/>
          <w:bCs/>
          <w:lang w:val="en-US"/>
        </w:rPr>
        <w:fldChar w:fldCharType="end"/>
      </w:r>
      <w:r w:rsidR="000F7317" w:rsidRPr="00125968">
        <w:t>References</w:t>
      </w:r>
    </w:p>
    <w:p w14:paraId="291FAD5E" w14:textId="5E7530A2" w:rsidR="000F7317" w:rsidRDefault="00AA144E" w:rsidP="000F7317">
      <w:pPr>
        <w:pStyle w:val="Reference"/>
        <w:rPr>
          <w:rFonts w:ascii="Arial" w:hAnsi="Arial" w:cs="Arial"/>
          <w:lang w:val="en-US"/>
        </w:rPr>
      </w:pPr>
      <w:bookmarkStart w:id="4" w:name="_Ref174151459"/>
      <w:bookmarkStart w:id="5" w:name="_Ref189809556"/>
      <w:r w:rsidRPr="00AA144E">
        <w:rPr>
          <w:rFonts w:ascii="Arial" w:hAnsi="Arial" w:cs="Arial"/>
          <w:lang w:val="en-US"/>
        </w:rPr>
        <w:t>R1-200148</w:t>
      </w:r>
      <w:r w:rsidR="00BB67A6">
        <w:rPr>
          <w:rFonts w:ascii="Arial" w:hAnsi="Arial" w:cs="Arial"/>
          <w:lang w:val="en-US"/>
        </w:rPr>
        <w:t>5</w:t>
      </w:r>
      <w:r w:rsidR="000F7317" w:rsidRPr="00AA144E">
        <w:rPr>
          <w:rFonts w:ascii="Arial" w:hAnsi="Arial" w:cs="Arial"/>
          <w:lang w:val="en-US"/>
        </w:rPr>
        <w:t>, "</w:t>
      </w:r>
      <w:r w:rsidRPr="00AA144E">
        <w:rPr>
          <w:rFonts w:ascii="Arial" w:hAnsi="Arial" w:cs="Arial"/>
          <w:lang w:val="en-US"/>
        </w:rPr>
        <w:t>RAN1 UE features list for Rel-16 LTE after RAN1#100-E</w:t>
      </w:r>
      <w:r w:rsidR="000F7317" w:rsidRPr="00AA144E">
        <w:rPr>
          <w:rFonts w:ascii="Arial" w:hAnsi="Arial" w:cs="Arial"/>
          <w:lang w:val="en-US"/>
        </w:rPr>
        <w:t>”</w:t>
      </w:r>
      <w:r w:rsidR="00BB67A6">
        <w:rPr>
          <w:rFonts w:ascii="Arial" w:hAnsi="Arial" w:cs="Arial"/>
          <w:lang w:val="en-US"/>
        </w:rPr>
        <w:t>.</w:t>
      </w:r>
    </w:p>
    <w:p w14:paraId="4B75F21B" w14:textId="70A6B9D4" w:rsidR="00BB67A6" w:rsidRDefault="00BB67A6" w:rsidP="00BB67A6">
      <w:pPr>
        <w:pStyle w:val="Reference"/>
        <w:rPr>
          <w:rFonts w:ascii="Arial" w:hAnsi="Arial" w:cs="Arial"/>
          <w:lang w:val="en-US"/>
        </w:rPr>
      </w:pPr>
      <w:r>
        <w:rPr>
          <w:rFonts w:ascii="Arial" w:hAnsi="Arial" w:cs="Arial"/>
          <w:lang w:val="en-US"/>
        </w:rPr>
        <w:t xml:space="preserve">R1-2001484, </w:t>
      </w:r>
      <w:r w:rsidRPr="00AA144E">
        <w:rPr>
          <w:rFonts w:ascii="Arial" w:hAnsi="Arial" w:cs="Arial"/>
          <w:lang w:val="en-US"/>
        </w:rPr>
        <w:t>"RAN1 UE features list for Rel-16</w:t>
      </w:r>
      <w:r>
        <w:rPr>
          <w:rFonts w:ascii="Arial" w:hAnsi="Arial" w:cs="Arial"/>
          <w:lang w:val="en-US"/>
        </w:rPr>
        <w:t xml:space="preserve"> NR</w:t>
      </w:r>
      <w:r w:rsidRPr="00AA144E">
        <w:rPr>
          <w:rFonts w:ascii="Arial" w:hAnsi="Arial" w:cs="Arial"/>
          <w:lang w:val="en-US"/>
        </w:rPr>
        <w:t xml:space="preserve"> after RAN1#100-E”</w:t>
      </w:r>
      <w:r>
        <w:rPr>
          <w:rFonts w:ascii="Arial" w:hAnsi="Arial" w:cs="Arial"/>
          <w:lang w:val="en-US"/>
        </w:rPr>
        <w:t>.</w:t>
      </w:r>
    </w:p>
    <w:p w14:paraId="16872B9C" w14:textId="04AB408D" w:rsidR="00BB67A6" w:rsidRPr="002E2DEC" w:rsidRDefault="00B17DB5" w:rsidP="000F7317">
      <w:pPr>
        <w:pStyle w:val="Reference"/>
        <w:rPr>
          <w:rFonts w:ascii="Arial" w:hAnsi="Arial" w:cs="Arial"/>
          <w:lang w:val="en-US"/>
        </w:rPr>
      </w:pPr>
      <w:r w:rsidRPr="002E2DEC">
        <w:rPr>
          <w:rFonts w:ascii="Arial" w:hAnsi="Arial" w:cs="Arial"/>
          <w:lang w:val="en-US"/>
        </w:rPr>
        <w:t>R1-</w:t>
      </w:r>
      <w:r w:rsidR="00C01A50" w:rsidRPr="002E2DEC">
        <w:rPr>
          <w:rFonts w:ascii="Arial" w:hAnsi="Arial" w:cs="Arial"/>
          <w:lang w:val="en-US"/>
        </w:rPr>
        <w:t>2004553</w:t>
      </w:r>
      <w:r w:rsidR="00BB67A6" w:rsidRPr="002E2DEC">
        <w:rPr>
          <w:rFonts w:ascii="Arial" w:hAnsi="Arial" w:cs="Arial"/>
          <w:lang w:val="en-US"/>
        </w:rPr>
        <w:t xml:space="preserve">, "UE features for 5G V2X", Ericsson. </w:t>
      </w:r>
    </w:p>
    <w:bookmarkEnd w:id="4"/>
    <w:bookmarkEnd w:id="5"/>
    <w:p w14:paraId="349CB158" w14:textId="78F83ECF" w:rsidR="00F81C2C" w:rsidRPr="000F7317" w:rsidRDefault="00F81C2C" w:rsidP="00F81C2C">
      <w:pPr>
        <w:rPr>
          <w:lang w:val="en-US"/>
        </w:rPr>
      </w:pPr>
    </w:p>
    <w:sectPr w:rsidR="00F81C2C" w:rsidRPr="000F73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31225" w14:textId="77777777" w:rsidR="003B4AEF" w:rsidRDefault="003B4AEF" w:rsidP="00846941">
      <w:pPr>
        <w:spacing w:after="0"/>
      </w:pPr>
      <w:r>
        <w:separator/>
      </w:r>
    </w:p>
  </w:endnote>
  <w:endnote w:type="continuationSeparator" w:id="0">
    <w:p w14:paraId="4AAF711A" w14:textId="77777777" w:rsidR="003B4AEF" w:rsidRDefault="003B4AEF" w:rsidP="008469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08800" w14:textId="77777777" w:rsidR="003B4AEF" w:rsidRDefault="003B4AEF" w:rsidP="00846941">
      <w:pPr>
        <w:spacing w:after="0"/>
      </w:pPr>
      <w:r>
        <w:separator/>
      </w:r>
    </w:p>
  </w:footnote>
  <w:footnote w:type="continuationSeparator" w:id="0">
    <w:p w14:paraId="3A95E5E4" w14:textId="77777777" w:rsidR="003B4AEF" w:rsidRDefault="003B4AEF" w:rsidP="008469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D2F796C"/>
    <w:multiLevelType w:val="hybridMultilevel"/>
    <w:tmpl w:val="D384181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1"/>
  </w:num>
  <w:num w:numId="4">
    <w:abstractNumId w:val="3"/>
  </w:num>
  <w:num w:numId="5">
    <w:abstractNumId w:val="1"/>
  </w:num>
  <w:num w:numId="6">
    <w:abstractNumId w:val="1"/>
  </w:num>
  <w:num w:numId="7">
    <w:abstractNumId w:val="1"/>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3E"/>
    <w:rsid w:val="000229F1"/>
    <w:rsid w:val="000258B2"/>
    <w:rsid w:val="0003047F"/>
    <w:rsid w:val="000435F3"/>
    <w:rsid w:val="000B2522"/>
    <w:rsid w:val="000B3530"/>
    <w:rsid w:val="000F0701"/>
    <w:rsid w:val="000F7317"/>
    <w:rsid w:val="00120C0C"/>
    <w:rsid w:val="001354C6"/>
    <w:rsid w:val="00144491"/>
    <w:rsid w:val="00153D6E"/>
    <w:rsid w:val="00154898"/>
    <w:rsid w:val="0017083E"/>
    <w:rsid w:val="00193ADE"/>
    <w:rsid w:val="001C3265"/>
    <w:rsid w:val="001C60DC"/>
    <w:rsid w:val="001D3A0B"/>
    <w:rsid w:val="001D4773"/>
    <w:rsid w:val="002166D1"/>
    <w:rsid w:val="00221168"/>
    <w:rsid w:val="0024178D"/>
    <w:rsid w:val="002E2DEC"/>
    <w:rsid w:val="002E6313"/>
    <w:rsid w:val="003071FB"/>
    <w:rsid w:val="00325D82"/>
    <w:rsid w:val="003514ED"/>
    <w:rsid w:val="003B20B5"/>
    <w:rsid w:val="003B4AEF"/>
    <w:rsid w:val="003C1278"/>
    <w:rsid w:val="003C5F03"/>
    <w:rsid w:val="00405D81"/>
    <w:rsid w:val="00431DF4"/>
    <w:rsid w:val="004429B8"/>
    <w:rsid w:val="00453FD6"/>
    <w:rsid w:val="0046591A"/>
    <w:rsid w:val="00475965"/>
    <w:rsid w:val="004834C0"/>
    <w:rsid w:val="004A0AF6"/>
    <w:rsid w:val="004E6196"/>
    <w:rsid w:val="004F7043"/>
    <w:rsid w:val="00517A01"/>
    <w:rsid w:val="00540B64"/>
    <w:rsid w:val="00554537"/>
    <w:rsid w:val="0060097E"/>
    <w:rsid w:val="006167C5"/>
    <w:rsid w:val="00645643"/>
    <w:rsid w:val="00657109"/>
    <w:rsid w:val="00691522"/>
    <w:rsid w:val="006A4964"/>
    <w:rsid w:val="006B74D9"/>
    <w:rsid w:val="006C6FFD"/>
    <w:rsid w:val="006E5FB6"/>
    <w:rsid w:val="00724A1B"/>
    <w:rsid w:val="00730E9D"/>
    <w:rsid w:val="00733736"/>
    <w:rsid w:val="00794CC6"/>
    <w:rsid w:val="007A2E26"/>
    <w:rsid w:val="007B702A"/>
    <w:rsid w:val="007C7347"/>
    <w:rsid w:val="007D1200"/>
    <w:rsid w:val="00812071"/>
    <w:rsid w:val="00846941"/>
    <w:rsid w:val="008860E2"/>
    <w:rsid w:val="0089216B"/>
    <w:rsid w:val="008A0BF5"/>
    <w:rsid w:val="008A5357"/>
    <w:rsid w:val="008D5CAE"/>
    <w:rsid w:val="009142C2"/>
    <w:rsid w:val="009346AC"/>
    <w:rsid w:val="0094295A"/>
    <w:rsid w:val="00967009"/>
    <w:rsid w:val="009A3753"/>
    <w:rsid w:val="009C374D"/>
    <w:rsid w:val="009C3B2C"/>
    <w:rsid w:val="00A01489"/>
    <w:rsid w:val="00A27823"/>
    <w:rsid w:val="00A3363E"/>
    <w:rsid w:val="00A62D8D"/>
    <w:rsid w:val="00A70DEA"/>
    <w:rsid w:val="00A93542"/>
    <w:rsid w:val="00AA144E"/>
    <w:rsid w:val="00B17DB5"/>
    <w:rsid w:val="00B341A7"/>
    <w:rsid w:val="00B855A9"/>
    <w:rsid w:val="00B97381"/>
    <w:rsid w:val="00BB67A6"/>
    <w:rsid w:val="00BC1C3D"/>
    <w:rsid w:val="00BC39AD"/>
    <w:rsid w:val="00BD721C"/>
    <w:rsid w:val="00C01A50"/>
    <w:rsid w:val="00C716CA"/>
    <w:rsid w:val="00CB6709"/>
    <w:rsid w:val="00CC41F1"/>
    <w:rsid w:val="00CC7C1C"/>
    <w:rsid w:val="00CE62FA"/>
    <w:rsid w:val="00D03701"/>
    <w:rsid w:val="00D202F3"/>
    <w:rsid w:val="00D446E4"/>
    <w:rsid w:val="00D4614E"/>
    <w:rsid w:val="00D46721"/>
    <w:rsid w:val="00D62340"/>
    <w:rsid w:val="00D66F30"/>
    <w:rsid w:val="00D81911"/>
    <w:rsid w:val="00DE0105"/>
    <w:rsid w:val="00E010A7"/>
    <w:rsid w:val="00E1517B"/>
    <w:rsid w:val="00E24374"/>
    <w:rsid w:val="00E306BD"/>
    <w:rsid w:val="00E44020"/>
    <w:rsid w:val="00E47D83"/>
    <w:rsid w:val="00E573F2"/>
    <w:rsid w:val="00E7089C"/>
    <w:rsid w:val="00E7426C"/>
    <w:rsid w:val="00EA19E7"/>
    <w:rsid w:val="00EC5040"/>
    <w:rsid w:val="00EC766C"/>
    <w:rsid w:val="00EE03E4"/>
    <w:rsid w:val="00F32971"/>
    <w:rsid w:val="00F423D8"/>
    <w:rsid w:val="00F448F4"/>
    <w:rsid w:val="00F61157"/>
    <w:rsid w:val="00F81C2C"/>
    <w:rsid w:val="00FB0A6E"/>
    <w:rsid w:val="00FC3387"/>
    <w:rsid w:val="00FE432F"/>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825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6115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F6115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4">
    <w:name w:val="heading 4"/>
    <w:basedOn w:val="Normal"/>
    <w:next w:val="Normal"/>
    <w:link w:val="Heading4Char"/>
    <w:uiPriority w:val="9"/>
    <w:semiHidden/>
    <w:unhideWhenUsed/>
    <w:qFormat/>
    <w:rsid w:val="00F6115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1157"/>
    <w:rPr>
      <w:rFonts w:ascii="Arial" w:eastAsia="Times New Roman" w:hAnsi="Arial" w:cs="Times New Roman"/>
      <w:sz w:val="36"/>
      <w:szCs w:val="20"/>
      <w:lang w:val="en-GB" w:eastAsia="ja-JP"/>
    </w:rPr>
  </w:style>
  <w:style w:type="paragraph" w:customStyle="1" w:styleId="3GPPHeader">
    <w:name w:val="3GPP_Header"/>
    <w:basedOn w:val="BodyText"/>
    <w:rsid w:val="00F61157"/>
    <w:pPr>
      <w:tabs>
        <w:tab w:val="left" w:pos="1701"/>
        <w:tab w:val="right" w:pos="9639"/>
      </w:tabs>
      <w:spacing w:after="240"/>
    </w:pPr>
    <w:rPr>
      <w:b/>
      <w:sz w:val="24"/>
    </w:rPr>
  </w:style>
  <w:style w:type="paragraph" w:styleId="BodyText">
    <w:name w:val="Body Text"/>
    <w:basedOn w:val="Normal"/>
    <w:link w:val="BodyTextChar"/>
    <w:rsid w:val="00F61157"/>
    <w:pPr>
      <w:spacing w:after="120"/>
      <w:jc w:val="both"/>
    </w:pPr>
    <w:rPr>
      <w:rFonts w:ascii="Arial" w:hAnsi="Arial"/>
      <w:lang w:eastAsia="zh-CN"/>
    </w:rPr>
  </w:style>
  <w:style w:type="character" w:customStyle="1" w:styleId="BodyTextChar">
    <w:name w:val="Body Text Char"/>
    <w:basedOn w:val="DefaultParagraphFont"/>
    <w:link w:val="BodyText"/>
    <w:rsid w:val="00F61157"/>
    <w:rPr>
      <w:rFonts w:ascii="Arial" w:eastAsia="Times New Roman" w:hAnsi="Arial" w:cs="Times New Roman"/>
      <w:sz w:val="20"/>
      <w:szCs w:val="20"/>
      <w:lang w:val="en-GB" w:eastAsia="zh-CN"/>
    </w:rPr>
  </w:style>
  <w:style w:type="character" w:customStyle="1" w:styleId="Heading4Char">
    <w:name w:val="Heading 4 Char"/>
    <w:basedOn w:val="DefaultParagraphFont"/>
    <w:link w:val="Heading4"/>
    <w:uiPriority w:val="9"/>
    <w:semiHidden/>
    <w:rsid w:val="00F61157"/>
    <w:rPr>
      <w:rFonts w:asciiTheme="majorHAnsi" w:eastAsiaTheme="majorEastAsia" w:hAnsiTheme="majorHAnsi" w:cstheme="majorBidi"/>
      <w:i/>
      <w:iCs/>
      <w:color w:val="2F5496" w:themeColor="accent1" w:themeShade="BF"/>
      <w:sz w:val="20"/>
      <w:szCs w:val="20"/>
      <w:lang w:val="en-GB" w:eastAsia="ja-JP"/>
    </w:rPr>
  </w:style>
  <w:style w:type="paragraph" w:styleId="BalloonText">
    <w:name w:val="Balloon Text"/>
    <w:basedOn w:val="Normal"/>
    <w:link w:val="BalloonTextChar"/>
    <w:uiPriority w:val="99"/>
    <w:semiHidden/>
    <w:unhideWhenUsed/>
    <w:rsid w:val="00F611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1157"/>
    <w:rPr>
      <w:rFonts w:ascii="Segoe UI" w:eastAsia="Times New Roman" w:hAnsi="Segoe UI" w:cs="Segoe UI"/>
      <w:sz w:val="18"/>
      <w:szCs w:val="18"/>
      <w:lang w:val="en-GB" w:eastAsia="ja-JP"/>
    </w:rPr>
  </w:style>
  <w:style w:type="paragraph" w:styleId="ListParagraph">
    <w:name w:val="List Paragraph"/>
    <w:basedOn w:val="Normal"/>
    <w:uiPriority w:val="34"/>
    <w:qFormat/>
    <w:rsid w:val="009C374D"/>
    <w:pPr>
      <w:ind w:left="720"/>
      <w:contextualSpacing/>
    </w:pPr>
  </w:style>
  <w:style w:type="character" w:styleId="Hyperlink">
    <w:name w:val="Hyperlink"/>
    <w:uiPriority w:val="99"/>
    <w:rsid w:val="00F81C2C"/>
    <w:rPr>
      <w:color w:val="0000FF"/>
      <w:u w:val="single"/>
    </w:rPr>
  </w:style>
  <w:style w:type="paragraph" w:customStyle="1" w:styleId="Proposal">
    <w:name w:val="Proposal"/>
    <w:basedOn w:val="BodyText"/>
    <w:rsid w:val="00F81C2C"/>
    <w:pPr>
      <w:numPr>
        <w:numId w:val="2"/>
      </w:numPr>
      <w:tabs>
        <w:tab w:val="left" w:pos="1701"/>
      </w:tabs>
      <w:overflowPunct/>
      <w:autoSpaceDE/>
      <w:autoSpaceDN/>
      <w:adjustRightInd/>
      <w:spacing w:line="259" w:lineRule="auto"/>
      <w:textAlignment w:val="auto"/>
    </w:pPr>
    <w:rPr>
      <w:rFonts w:eastAsiaTheme="minorHAnsi" w:cstheme="minorBidi"/>
      <w:b/>
      <w:bCs/>
      <w:sz w:val="22"/>
      <w:szCs w:val="22"/>
    </w:rPr>
  </w:style>
  <w:style w:type="paragraph" w:styleId="TableofFigures">
    <w:name w:val="table of figures"/>
    <w:basedOn w:val="BodyText"/>
    <w:next w:val="Normal"/>
    <w:uiPriority w:val="99"/>
    <w:rsid w:val="00F81C2C"/>
    <w:pPr>
      <w:overflowPunct/>
      <w:autoSpaceDE/>
      <w:autoSpaceDN/>
      <w:adjustRightInd/>
      <w:spacing w:line="259" w:lineRule="auto"/>
      <w:ind w:left="1701" w:hanging="1701"/>
      <w:jc w:val="left"/>
      <w:textAlignment w:val="auto"/>
    </w:pPr>
    <w:rPr>
      <w:rFonts w:eastAsiaTheme="minorHAnsi" w:cstheme="minorBidi"/>
      <w:b/>
      <w:sz w:val="22"/>
      <w:szCs w:val="22"/>
    </w:rPr>
  </w:style>
  <w:style w:type="paragraph" w:customStyle="1" w:styleId="Reference">
    <w:name w:val="Reference"/>
    <w:basedOn w:val="BodyText"/>
    <w:rsid w:val="000F7317"/>
    <w:pPr>
      <w:numPr>
        <w:numId w:val="4"/>
      </w:numPr>
      <w:overflowPunct/>
      <w:autoSpaceDE/>
      <w:autoSpaceDN/>
      <w:adjustRightInd/>
      <w:spacing w:line="259" w:lineRule="auto"/>
      <w:jc w:val="left"/>
      <w:textAlignment w:val="auto"/>
    </w:pPr>
    <w:rPr>
      <w:rFonts w:asciiTheme="minorHAnsi" w:eastAsia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730E9D"/>
    <w:rPr>
      <w:sz w:val="16"/>
      <w:szCs w:val="16"/>
    </w:rPr>
  </w:style>
  <w:style w:type="paragraph" w:styleId="CommentText">
    <w:name w:val="annotation text"/>
    <w:basedOn w:val="Normal"/>
    <w:link w:val="CommentTextChar"/>
    <w:uiPriority w:val="99"/>
    <w:semiHidden/>
    <w:unhideWhenUsed/>
    <w:rsid w:val="00730E9D"/>
  </w:style>
  <w:style w:type="character" w:customStyle="1" w:styleId="CommentTextChar">
    <w:name w:val="Comment Text Char"/>
    <w:basedOn w:val="DefaultParagraphFont"/>
    <w:link w:val="CommentText"/>
    <w:uiPriority w:val="99"/>
    <w:semiHidden/>
    <w:rsid w:val="00730E9D"/>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30E9D"/>
    <w:rPr>
      <w:b/>
      <w:bCs/>
    </w:rPr>
  </w:style>
  <w:style w:type="character" w:customStyle="1" w:styleId="CommentSubjectChar">
    <w:name w:val="Comment Subject Char"/>
    <w:basedOn w:val="CommentTextChar"/>
    <w:link w:val="CommentSubject"/>
    <w:uiPriority w:val="99"/>
    <w:semiHidden/>
    <w:rsid w:val="00730E9D"/>
    <w:rPr>
      <w:rFonts w:ascii="Times New Roman" w:eastAsia="Times New Roman" w:hAnsi="Times New Roman" w:cs="Times New Roman"/>
      <w:b/>
      <w:bCs/>
      <w:sz w:val="20"/>
      <w:szCs w:val="20"/>
      <w:lang w:val="en-GB" w:eastAsia="ja-JP"/>
    </w:rPr>
  </w:style>
  <w:style w:type="paragraph" w:styleId="Header">
    <w:name w:val="header"/>
    <w:basedOn w:val="Normal"/>
    <w:link w:val="HeaderChar"/>
    <w:uiPriority w:val="99"/>
    <w:unhideWhenUsed/>
    <w:rsid w:val="00846941"/>
    <w:pPr>
      <w:tabs>
        <w:tab w:val="center" w:pos="4680"/>
        <w:tab w:val="right" w:pos="9360"/>
      </w:tabs>
      <w:spacing w:after="0"/>
    </w:pPr>
  </w:style>
  <w:style w:type="character" w:customStyle="1" w:styleId="HeaderChar">
    <w:name w:val="Header Char"/>
    <w:basedOn w:val="DefaultParagraphFont"/>
    <w:link w:val="Header"/>
    <w:uiPriority w:val="99"/>
    <w:rsid w:val="00846941"/>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846941"/>
    <w:pPr>
      <w:tabs>
        <w:tab w:val="center" w:pos="4680"/>
        <w:tab w:val="right" w:pos="9360"/>
      </w:tabs>
      <w:spacing w:after="0"/>
    </w:pPr>
  </w:style>
  <w:style w:type="character" w:customStyle="1" w:styleId="FooterChar">
    <w:name w:val="Footer Char"/>
    <w:basedOn w:val="DefaultParagraphFont"/>
    <w:link w:val="Footer"/>
    <w:uiPriority w:val="99"/>
    <w:rsid w:val="00846941"/>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8495">
      <w:bodyDiv w:val="1"/>
      <w:marLeft w:val="0"/>
      <w:marRight w:val="0"/>
      <w:marTop w:val="0"/>
      <w:marBottom w:val="0"/>
      <w:divBdr>
        <w:top w:val="none" w:sz="0" w:space="0" w:color="auto"/>
        <w:left w:val="none" w:sz="0" w:space="0" w:color="auto"/>
        <w:bottom w:val="none" w:sz="0" w:space="0" w:color="auto"/>
        <w:right w:val="none" w:sz="0" w:space="0" w:color="auto"/>
      </w:divBdr>
    </w:div>
    <w:div w:id="155267479">
      <w:bodyDiv w:val="1"/>
      <w:marLeft w:val="0"/>
      <w:marRight w:val="0"/>
      <w:marTop w:val="0"/>
      <w:marBottom w:val="0"/>
      <w:divBdr>
        <w:top w:val="none" w:sz="0" w:space="0" w:color="auto"/>
        <w:left w:val="none" w:sz="0" w:space="0" w:color="auto"/>
        <w:bottom w:val="none" w:sz="0" w:space="0" w:color="auto"/>
        <w:right w:val="none" w:sz="0" w:space="0" w:color="auto"/>
      </w:divBdr>
    </w:div>
    <w:div w:id="211828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2020-05-15T17:02:00Z</dcterms:created>
  <dcterms:modified xsi:type="dcterms:W3CDTF">2020-05-15T17:02:00Z</dcterms:modified>
</cp:coreProperties>
</file>